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Lo nuevo de Sophos Cloud Optix simplifica la seguridad en la nube</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jc w:val="center"/>
        <w:rPr>
          <w:rFonts w:ascii="Calibri" w:cs="Calibri" w:eastAsia="Calibri" w:hAnsi="Calibri"/>
          <w:i w:val="1"/>
          <w:sz w:val="22"/>
          <w:szCs w:val="22"/>
        </w:rPr>
      </w:pPr>
      <w:r w:rsidDel="00000000" w:rsidR="00000000" w:rsidRPr="00000000">
        <w:rPr>
          <w:rFonts w:ascii="Proxima Nova" w:cs="Proxima Nova" w:eastAsia="Proxima Nova" w:hAnsi="Proxima Nova"/>
          <w:i w:val="1"/>
          <w:rtl w:val="0"/>
        </w:rPr>
        <w:t xml:space="preserve">Sus n</w:t>
      </w:r>
      <w:r w:rsidDel="00000000" w:rsidR="00000000" w:rsidRPr="00000000">
        <w:rPr>
          <w:rFonts w:ascii="Proxima Nova" w:cs="Proxima Nova" w:eastAsia="Proxima Nova" w:hAnsi="Proxima Nova"/>
          <w:i w:val="1"/>
          <w:rtl w:val="0"/>
        </w:rPr>
        <w:t xml:space="preserve">uevas características y capacidades fueron presentadas en el AWS re:Invent 2019</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Ciudad de México a 12 de diciembre</w:t>
      </w:r>
      <w:r w:rsidDel="00000000" w:rsidR="00000000" w:rsidRPr="00000000">
        <w:rPr>
          <w:rFonts w:ascii="Proxima Nova" w:cs="Proxima Nova" w:eastAsia="Proxima Nova" w:hAnsi="Proxima Nova"/>
          <w:b w:val="1"/>
          <w:sz w:val="22"/>
          <w:szCs w:val="22"/>
          <w:rtl w:val="0"/>
        </w:rPr>
        <w:t xml:space="preserve"> de 2019.</w:t>
      </w:r>
      <w:r w:rsidDel="00000000" w:rsidR="00000000" w:rsidRPr="00000000">
        <w:rPr>
          <w:rFonts w:ascii="Proxima Nova" w:cs="Proxima Nova" w:eastAsia="Proxima Nova" w:hAnsi="Proxima Nova"/>
          <w:sz w:val="22"/>
          <w:szCs w:val="22"/>
          <w:rtl w:val="0"/>
        </w:rPr>
        <w:t xml:space="preserve">  – </w:t>
      </w:r>
      <w:hyperlink r:id="rId6">
        <w:r w:rsidDel="00000000" w:rsidR="00000000" w:rsidRPr="00000000">
          <w:rPr>
            <w:rFonts w:ascii="Proxima Nova" w:cs="Proxima Nova" w:eastAsia="Proxima Nova" w:hAnsi="Proxima Nova"/>
            <w:color w:val="0000ff"/>
            <w:sz w:val="22"/>
            <w:szCs w:val="22"/>
            <w:u w:val="single"/>
            <w:rtl w:val="0"/>
          </w:rPr>
          <w:t xml:space="preserve">Sophos</w:t>
        </w:r>
      </w:hyperlink>
      <w:r w:rsidDel="00000000" w:rsidR="00000000" w:rsidRPr="00000000">
        <w:rPr>
          <w:rFonts w:ascii="Proxima Nova" w:cs="Proxima Nova" w:eastAsia="Proxima Nova" w:hAnsi="Proxima Nova"/>
          <w:color w:val="0070c0"/>
          <w:sz w:val="22"/>
          <w:szCs w:val="22"/>
          <w:rtl w:val="0"/>
        </w:rPr>
        <w:t xml:space="preserve"> </w:t>
      </w:r>
      <w:r w:rsidDel="00000000" w:rsidR="00000000" w:rsidRPr="00000000">
        <w:rPr>
          <w:rFonts w:ascii="Proxima Nova" w:cs="Proxima Nova" w:eastAsia="Proxima Nova" w:hAnsi="Proxima Nova"/>
          <w:sz w:val="22"/>
          <w:szCs w:val="22"/>
          <w:rtl w:val="0"/>
        </w:rPr>
        <w:t xml:space="preserve">(LSE: SOPH), líder mundial en ciberseguridad de última generación habilitada para la nube, anunció los próximos adelantos de </w:t>
      </w:r>
      <w:hyperlink r:id="rId7">
        <w:r w:rsidDel="00000000" w:rsidR="00000000" w:rsidRPr="00000000">
          <w:rPr>
            <w:rFonts w:ascii="Proxima Nova" w:cs="Proxima Nova" w:eastAsia="Proxima Nova" w:hAnsi="Proxima Nova"/>
            <w:color w:val="0000ff"/>
            <w:sz w:val="22"/>
            <w:szCs w:val="22"/>
            <w:u w:val="single"/>
            <w:rtl w:val="0"/>
          </w:rPr>
          <w:t xml:space="preserve">Sophos Cloud Optix</w:t>
        </w:r>
      </w:hyperlink>
      <w:r w:rsidDel="00000000" w:rsidR="00000000" w:rsidRPr="00000000">
        <w:rPr>
          <w:rFonts w:ascii="Proxima Nova" w:cs="Proxima Nova" w:eastAsia="Proxima Nova" w:hAnsi="Proxima Nova"/>
          <w:sz w:val="22"/>
          <w:szCs w:val="22"/>
          <w:rtl w:val="0"/>
        </w:rPr>
        <w:t xml:space="preserve">, los cuales automatizan y simplifican la detección de vulnerabilidades en la seguridad de la nube, así como configuraciones erróneas para reducir la exposición a riesgos y amenazas.</w:t>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7">
      <w:pP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Cloud Optix puede gestionarse fácilmente desde la plataforma unificada de </w:t>
      </w:r>
      <w:hyperlink r:id="rId8">
        <w:r w:rsidDel="00000000" w:rsidR="00000000" w:rsidRPr="00000000">
          <w:rPr>
            <w:rFonts w:ascii="Proxima Nova" w:cs="Proxima Nova" w:eastAsia="Proxima Nova" w:hAnsi="Proxima Nova"/>
            <w:color w:val="0000ff"/>
            <w:sz w:val="22"/>
            <w:szCs w:val="22"/>
            <w:u w:val="single"/>
            <w:rtl w:val="0"/>
          </w:rPr>
          <w:t xml:space="preserve">Sophos Central</w:t>
        </w:r>
      </w:hyperlink>
      <w:r w:rsidDel="00000000" w:rsidR="00000000" w:rsidRPr="00000000">
        <w:rPr>
          <w:rFonts w:ascii="Proxima Nova" w:cs="Proxima Nova" w:eastAsia="Proxima Nova" w:hAnsi="Proxima Nova"/>
          <w:sz w:val="22"/>
          <w:szCs w:val="22"/>
          <w:rtl w:val="0"/>
        </w:rPr>
        <w:t xml:space="preserve"> basada en la nube junto con toda la cartera de soluciones en ciberseguridad de última generación -incluidos los productos de Sophos para puntos finales, redes, móviles, Wi-Fi, email y encriptados. El intercambio de información en tiempo real y la respuesta inmediata de amenazas en </w:t>
      </w:r>
      <w:hyperlink r:id="rId9">
        <w:r w:rsidDel="00000000" w:rsidR="00000000" w:rsidRPr="00000000">
          <w:rPr>
            <w:rFonts w:ascii="Proxima Nova" w:cs="Proxima Nova" w:eastAsia="Proxima Nova" w:hAnsi="Proxima Nova"/>
            <w:color w:val="0000ff"/>
            <w:sz w:val="22"/>
            <w:szCs w:val="22"/>
            <w:u w:val="single"/>
            <w:rtl w:val="0"/>
          </w:rPr>
          <w:t xml:space="preserve">Sophos Central</w:t>
        </w:r>
      </w:hyperlink>
      <w:r w:rsidDel="00000000" w:rsidR="00000000" w:rsidRPr="00000000">
        <w:rPr>
          <w:rFonts w:ascii="Proxima Nova" w:cs="Proxima Nova" w:eastAsia="Proxima Nova" w:hAnsi="Proxima Nova"/>
          <w:sz w:val="22"/>
          <w:szCs w:val="22"/>
          <w:rtl w:val="0"/>
        </w:rPr>
        <w:t xml:space="preserve"> permite a las organizaciones mejorar su detección y los tiempos de respuesta, simplificar las investigaciones y minimizar su impacto.</w:t>
      </w:r>
    </w:p>
    <w:p w:rsidR="00000000" w:rsidDel="00000000" w:rsidP="00000000" w:rsidRDefault="00000000" w:rsidRPr="00000000" w14:paraId="00000008">
      <w:pP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9">
      <w:pP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Cloud Optix responde a una necesidad crítica del mercado de seguridad en la nube a través de contar con una visibilidad inigualable de los puntos ciegos de riesgo. Gracias al uso de Inteligencia Artificial para automatizar la detección de vulnerabilidades y configuraciones erróneas en la arquitectura de la nube, los equipos de seguridad obtienen una visibilidad completa de todo lo almacenado, así como la capacidad de responder y remediar los riesgos de seguridad en cuestión de minutos. Disponible en AWS Marketplace, Cloud Optix, proporciona descubrimiento automático de los activos de una organización a través de Amazon Web Services (AWS) y entornos multi-nube.</w:t>
      </w:r>
    </w:p>
    <w:p w:rsidR="00000000" w:rsidDel="00000000" w:rsidP="00000000" w:rsidRDefault="00000000" w:rsidRPr="00000000" w14:paraId="0000000A">
      <w:pP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B">
      <w:pP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Nuevas características y capacidades:</w:t>
      </w:r>
    </w:p>
    <w:p w:rsidR="00000000" w:rsidDel="00000000" w:rsidP="00000000" w:rsidRDefault="00000000" w:rsidRPr="00000000" w14:paraId="0000000C">
      <w:pPr>
        <w:pBdr>
          <w:left w:color="000000" w:space="7" w:sz="0" w:val="none"/>
        </w:pBdr>
        <w:spacing w:line="276" w:lineRule="auto"/>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D">
      <w:pPr>
        <w:numPr>
          <w:ilvl w:val="0"/>
          <w:numId w:val="4"/>
        </w:numPr>
        <w:pBdr>
          <w:left w:color="000000" w:space="7" w:sz="0" w:val="none"/>
        </w:pBdr>
        <w:spacing w:line="276" w:lineRule="auto"/>
        <w:ind w:left="720" w:hanging="430"/>
        <w:jc w:val="both"/>
        <w:rPr>
          <w:sz w:val="22"/>
          <w:szCs w:val="22"/>
        </w:rPr>
      </w:pPr>
      <w:r w:rsidDel="00000000" w:rsidR="00000000" w:rsidRPr="00000000">
        <w:rPr>
          <w:rFonts w:ascii="Proxima Nova" w:cs="Proxima Nova" w:eastAsia="Proxima Nova" w:hAnsi="Proxima Nova"/>
          <w:sz w:val="22"/>
          <w:szCs w:val="22"/>
          <w:rtl w:val="0"/>
        </w:rPr>
        <w:t xml:space="preserve">Acelera la investigación de amenazas: </w:t>
      </w:r>
      <w:r w:rsidDel="00000000" w:rsidR="00000000" w:rsidRPr="00000000">
        <w:rPr>
          <w:rFonts w:ascii="Proxima Nova" w:cs="Proxima Nova" w:eastAsia="Proxima Nova" w:hAnsi="Proxima Nova"/>
          <w:sz w:val="22"/>
          <w:szCs w:val="22"/>
          <w:rtl w:val="0"/>
        </w:rPr>
        <w:t xml:space="preserve">Cloud Optix transforma la visualización de la infraestructura de AWS, por lo que las organizaciones pueden identificar y eliminar amenazas de seguridad ocultas. Cloud Optix ahora amplía el soporte para el recién lanzado </w:t>
      </w:r>
      <w:hyperlink r:id="rId10">
        <w:r w:rsidDel="00000000" w:rsidR="00000000" w:rsidRPr="00000000">
          <w:rPr>
            <w:rFonts w:ascii="Proxima Nova" w:cs="Proxima Nova" w:eastAsia="Proxima Nova" w:hAnsi="Proxima Nova"/>
            <w:color w:val="0000ff"/>
            <w:sz w:val="22"/>
            <w:szCs w:val="22"/>
            <w:u w:val="single"/>
            <w:rtl w:val="0"/>
          </w:rPr>
          <w:t xml:space="preserve">Amazon Detective</w:t>
        </w:r>
      </w:hyperlink>
      <w:r w:rsidDel="00000000" w:rsidR="00000000" w:rsidRPr="00000000">
        <w:rPr>
          <w:rFonts w:ascii="Proxima Nova" w:cs="Proxima Nova" w:eastAsia="Proxima Nova" w:hAnsi="Proxima Nova"/>
          <w:color w:val="0000ff"/>
          <w:sz w:val="22"/>
          <w:szCs w:val="22"/>
          <w:rtl w:val="0"/>
        </w:rPr>
        <w:t xml:space="preserve"> </w:t>
      </w:r>
      <w:r w:rsidDel="00000000" w:rsidR="00000000" w:rsidRPr="00000000">
        <w:rPr>
          <w:rFonts w:ascii="Proxima Nova" w:cs="Proxima Nova" w:eastAsia="Proxima Nova" w:hAnsi="Proxima Nova"/>
          <w:sz w:val="22"/>
          <w:szCs w:val="22"/>
          <w:rtl w:val="0"/>
        </w:rPr>
        <w:t xml:space="preserve">con datos interactivos e intuitivos acerca de potenciales amenazas, como intentos fallidos en inicios de sesión y llamadas sospechosas a la API en todas las cargas de trabajo de AWS.</w:t>
      </w:r>
    </w:p>
    <w:p w:rsidR="00000000" w:rsidDel="00000000" w:rsidP="00000000" w:rsidRDefault="00000000" w:rsidRPr="00000000" w14:paraId="0000000E">
      <w:pPr>
        <w:pBdr>
          <w:left w:color="000000" w:space="7" w:sz="0" w:val="none"/>
        </w:pBdr>
        <w:spacing w:line="276" w:lineRule="auto"/>
        <w:rPr>
          <w:rFonts w:ascii="Proxima Nova" w:cs="Proxima Nova" w:eastAsia="Proxima Nova" w:hAnsi="Proxima Nova"/>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F">
      <w:pPr>
        <w:numPr>
          <w:ilvl w:val="0"/>
          <w:numId w:val="2"/>
        </w:numPr>
        <w:pBdr>
          <w:left w:color="000000" w:space="7" w:sz="0" w:val="none"/>
        </w:pBdr>
        <w:spacing w:line="276" w:lineRule="auto"/>
        <w:ind w:left="720" w:hanging="430"/>
        <w:jc w:val="both"/>
        <w:rPr>
          <w:sz w:val="22"/>
          <w:szCs w:val="22"/>
        </w:rPr>
      </w:pPr>
      <w:bookmarkStart w:colFirst="0" w:colLast="0" w:name="_4wphgyqgnvnr" w:id="1"/>
      <w:bookmarkEnd w:id="1"/>
      <w:r w:rsidDel="00000000" w:rsidR="00000000" w:rsidRPr="00000000">
        <w:rPr>
          <w:rFonts w:ascii="Proxima Nova" w:cs="Proxima Nova" w:eastAsia="Proxima Nova" w:hAnsi="Proxima Nova"/>
          <w:sz w:val="22"/>
          <w:szCs w:val="22"/>
          <w:rtl w:val="0"/>
        </w:rPr>
        <w:t xml:space="preserve">Identificar las vulnerabilidades en la seguridad de Kubernetes: </w:t>
      </w:r>
      <w:r w:rsidDel="00000000" w:rsidR="00000000" w:rsidRPr="00000000">
        <w:rPr>
          <w:rFonts w:ascii="Proxima Nova" w:cs="Proxima Nova" w:eastAsia="Proxima Nova" w:hAnsi="Proxima Nova"/>
          <w:sz w:val="22"/>
          <w:szCs w:val="22"/>
          <w:rtl w:val="0"/>
        </w:rPr>
        <w:t xml:space="preserve">Los clústers de </w:t>
      </w:r>
      <w:hyperlink r:id="rId11">
        <w:r w:rsidDel="00000000" w:rsidR="00000000" w:rsidRPr="00000000">
          <w:rPr>
            <w:rFonts w:ascii="Proxima Nova" w:cs="Proxima Nova" w:eastAsia="Proxima Nova" w:hAnsi="Proxima Nova"/>
            <w:color w:val="0000ff"/>
            <w:sz w:val="22"/>
            <w:szCs w:val="22"/>
            <w:u w:val="single"/>
            <w:rtl w:val="0"/>
          </w:rPr>
          <w:t xml:space="preserve">Amazon Elastic Kubernetes Service</w:t>
        </w:r>
      </w:hyperlink>
      <w:r w:rsidDel="00000000" w:rsidR="00000000" w:rsidRPr="00000000">
        <w:rPr>
          <w:rFonts w:ascii="Proxima Nova" w:cs="Proxima Nova" w:eastAsia="Proxima Nova" w:hAnsi="Proxima Nova"/>
          <w:sz w:val="22"/>
          <w:szCs w:val="22"/>
          <w:rtl w:val="0"/>
        </w:rPr>
        <w:t xml:space="preserve"> (Amazon EKS) y las implementaciones nativas de Kubernetes ahora son rastreadas por Cloud Optix, proporcionando un inventario visualización completos de clusters, nodos, pools de nodos pods, contenedores y más. Los nuevos controles de seguridad de referencia permiten a las organizaciones evaluar continuamente la postura de su plataforma de orquestación de contenedores.</w:t>
        <w:br w:type="textWrapping"/>
      </w:r>
    </w:p>
    <w:p w:rsidR="00000000" w:rsidDel="00000000" w:rsidP="00000000" w:rsidRDefault="00000000" w:rsidRPr="00000000" w14:paraId="00000010">
      <w:pPr>
        <w:numPr>
          <w:ilvl w:val="0"/>
          <w:numId w:val="2"/>
        </w:numPr>
        <w:pBdr>
          <w:left w:color="000000" w:space="7" w:sz="0" w:val="none"/>
        </w:pBdr>
        <w:spacing w:line="276" w:lineRule="auto"/>
        <w:ind w:left="720" w:hanging="430"/>
        <w:jc w:val="both"/>
        <w:rPr>
          <w:sz w:val="22"/>
          <w:szCs w:val="22"/>
        </w:rPr>
      </w:pPr>
      <w:r w:rsidDel="00000000" w:rsidR="00000000" w:rsidRPr="00000000">
        <w:rPr>
          <w:rFonts w:ascii="Proxima Nova" w:cs="Proxima Nova" w:eastAsia="Proxima Nova" w:hAnsi="Proxima Nova"/>
          <w:sz w:val="22"/>
          <w:szCs w:val="22"/>
          <w:rtl w:val="0"/>
        </w:rPr>
        <w:t xml:space="preserve">Detectar anomalías en la nube:</w:t>
      </w:r>
      <w:r w:rsidDel="00000000" w:rsidR="00000000" w:rsidRPr="00000000">
        <w:rPr>
          <w:rFonts w:ascii="Proxima Nova" w:cs="Proxima Nova" w:eastAsia="Proxima Nova" w:hAnsi="Proxima Nova"/>
          <w:sz w:val="22"/>
          <w:szCs w:val="22"/>
          <w:rtl w:val="0"/>
        </w:rPr>
        <w:t xml:space="preserve"> Las nuevas capacidades de monitorización del gasto en la nube centradas en la seguridad, señalan anormalidades inesperadas potencialmente indicativas de abuso para que las organizaciones puedan tomar medidas. Cloud Optix supervisa el gasto diario en la nube e </w:t>
      </w:r>
      <w:r w:rsidDel="00000000" w:rsidR="00000000" w:rsidRPr="00000000">
        <w:rPr>
          <w:rFonts w:ascii="Proxima Nova" w:cs="Proxima Nova" w:eastAsia="Proxima Nova" w:hAnsi="Proxima Nova"/>
          <w:sz w:val="22"/>
          <w:szCs w:val="22"/>
          <w:rtl w:val="0"/>
        </w:rPr>
        <w:t xml:space="preserve">identifica</w:t>
      </w:r>
      <w:r w:rsidDel="00000000" w:rsidR="00000000" w:rsidRPr="00000000">
        <w:rPr>
          <w:rFonts w:ascii="Proxima Nova" w:cs="Proxima Nova" w:eastAsia="Proxima Nova" w:hAnsi="Proxima Nova"/>
          <w:sz w:val="22"/>
          <w:szCs w:val="22"/>
          <w:rtl w:val="0"/>
        </w:rPr>
        <w:t xml:space="preserve"> actividades inusuales, destacando los principales entornos y servicios por gasto con alertas de umbral de gasto personalizables.</w:t>
      </w:r>
    </w:p>
    <w:p w:rsidR="00000000" w:rsidDel="00000000" w:rsidP="00000000" w:rsidRDefault="00000000" w:rsidRPr="00000000" w14:paraId="00000011">
      <w:pPr>
        <w:pBdr>
          <w:left w:color="000000" w:space="7" w:sz="0" w:val="none"/>
        </w:pBdr>
        <w:spacing w:line="276" w:lineRule="auto"/>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2">
      <w:pPr>
        <w:numPr>
          <w:ilvl w:val="0"/>
          <w:numId w:val="1"/>
        </w:numPr>
        <w:pBdr>
          <w:left w:color="000000" w:space="7" w:sz="0" w:val="none"/>
        </w:pBdr>
        <w:spacing w:line="276" w:lineRule="auto"/>
        <w:ind w:left="720" w:hanging="430"/>
        <w:jc w:val="both"/>
        <w:rPr>
          <w:rFonts w:ascii="Calibri" w:cs="Calibri" w:eastAsia="Calibri" w:hAnsi="Calibri"/>
          <w:sz w:val="22"/>
          <w:szCs w:val="22"/>
        </w:rPr>
      </w:pPr>
      <w:r w:rsidDel="00000000" w:rsidR="00000000" w:rsidRPr="00000000">
        <w:rPr>
          <w:rFonts w:ascii="Proxima Nova" w:cs="Proxima Nova" w:eastAsia="Proxima Nova" w:hAnsi="Proxima Nova"/>
          <w:sz w:val="22"/>
          <w:szCs w:val="22"/>
          <w:rtl w:val="0"/>
        </w:rPr>
        <w:t xml:space="preserve">Detectar el acceso público no intencionado o el acceso a cuentas cruzadas. </w:t>
      </w:r>
      <w:r w:rsidDel="00000000" w:rsidR="00000000" w:rsidRPr="00000000">
        <w:rPr>
          <w:rFonts w:ascii="Proxima Nova" w:cs="Proxima Nova" w:eastAsia="Proxima Nova" w:hAnsi="Proxima Nova"/>
          <w:sz w:val="22"/>
          <w:szCs w:val="22"/>
          <w:rtl w:val="0"/>
        </w:rPr>
        <w:t xml:space="preserve">La integración con el nuevo Analizador de Acceso de Gestión de Identidad y Acceso (IAM) de AWS proporciona el detalle y el contexto necesarios para determinar rápidamente si las políticas de recursos han sido mal configuradas para permitir el acceso involuntario público o de cuentas cruzadas.</w:t>
      </w:r>
    </w:p>
    <w:p w:rsidR="00000000" w:rsidDel="00000000" w:rsidP="00000000" w:rsidRDefault="00000000" w:rsidRPr="00000000" w14:paraId="00000013">
      <w:pPr>
        <w:pBdr>
          <w:left w:color="000000" w:space="7" w:sz="0" w:val="none"/>
        </w:pBdr>
        <w:spacing w:line="276" w:lineRule="auto"/>
        <w:ind w:left="720" w:firstLine="0"/>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4">
      <w:pPr>
        <w:numPr>
          <w:ilvl w:val="0"/>
          <w:numId w:val="3"/>
        </w:numPr>
        <w:pBdr>
          <w:left w:color="000000" w:space="7" w:sz="0" w:val="none"/>
        </w:pBdr>
        <w:spacing w:line="276" w:lineRule="auto"/>
        <w:ind w:left="720" w:hanging="430"/>
        <w:jc w:val="both"/>
        <w:rPr>
          <w:rFonts w:ascii="Calibri" w:cs="Calibri" w:eastAsia="Calibri" w:hAnsi="Calibri"/>
          <w:sz w:val="22"/>
          <w:szCs w:val="22"/>
        </w:rPr>
      </w:pPr>
      <w:r w:rsidDel="00000000" w:rsidR="00000000" w:rsidRPr="00000000">
        <w:rPr>
          <w:rFonts w:ascii="Proxima Nova" w:cs="Proxima Nova" w:eastAsia="Proxima Nova" w:hAnsi="Proxima Nova"/>
          <w:sz w:val="22"/>
          <w:szCs w:val="22"/>
          <w:rtl w:val="0"/>
        </w:rPr>
        <w:t xml:space="preserve">Tráfico seguro en la nube</w:t>
      </w:r>
      <w:r w:rsidDel="00000000" w:rsidR="00000000" w:rsidRPr="00000000">
        <w:rPr>
          <w:rFonts w:ascii="Proxima Nova" w:cs="Proxima Nova" w:eastAsia="Proxima Nova" w:hAnsi="Proxima Nova"/>
          <w:sz w:val="22"/>
          <w:szCs w:val="22"/>
          <w:rtl w:val="0"/>
        </w:rPr>
        <w:t xml:space="preserve">: Al extender la seguridad en la red, la compatibilidad de </w:t>
      </w:r>
      <w:hyperlink r:id="rId12">
        <w:r w:rsidDel="00000000" w:rsidR="00000000" w:rsidRPr="00000000">
          <w:rPr>
            <w:rFonts w:ascii="Proxima Nova" w:cs="Proxima Nova" w:eastAsia="Proxima Nova" w:hAnsi="Proxima Nova"/>
            <w:color w:val="0000ff"/>
            <w:sz w:val="22"/>
            <w:szCs w:val="22"/>
            <w:u w:val="single"/>
            <w:rtl w:val="0"/>
          </w:rPr>
          <w:t xml:space="preserve">Sophos UTM</w:t>
        </w:r>
      </w:hyperlink>
      <w:r w:rsidDel="00000000" w:rsidR="00000000" w:rsidRPr="00000000">
        <w:rPr>
          <w:rFonts w:ascii="Proxima Nova" w:cs="Proxima Nova" w:eastAsia="Proxima Nova" w:hAnsi="Proxima Nova"/>
          <w:sz w:val="22"/>
          <w:szCs w:val="22"/>
          <w:rtl w:val="0"/>
        </w:rPr>
        <w:t xml:space="preserve"> con el nuevo </w:t>
      </w:r>
      <w:hyperlink r:id="rId13">
        <w:r w:rsidDel="00000000" w:rsidR="00000000" w:rsidRPr="00000000">
          <w:rPr>
            <w:rFonts w:ascii="Proxima Nova" w:cs="Proxima Nova" w:eastAsia="Proxima Nova" w:hAnsi="Proxima Nova"/>
            <w:color w:val="0000ff"/>
            <w:sz w:val="22"/>
            <w:szCs w:val="22"/>
            <w:u w:val="single"/>
            <w:rtl w:val="0"/>
          </w:rPr>
          <w:t xml:space="preserve">enrutamiento de entrada de Amazon Virtual Private Cloud (VPC)</w:t>
        </w:r>
      </w:hyperlink>
      <w:r w:rsidDel="00000000" w:rsidR="00000000" w:rsidRPr="00000000">
        <w:rPr>
          <w:rFonts w:ascii="Proxima Nova" w:cs="Proxima Nova" w:eastAsia="Proxima Nova" w:hAnsi="Proxima Nova"/>
          <w:sz w:val="22"/>
          <w:szCs w:val="22"/>
          <w:rtl w:val="0"/>
        </w:rPr>
        <w:t xml:space="preserve"> garantiza la seguridad del tráfico que entra y sale de los VPC y otros dispositivos virtuales. Con la nueva capacidad de restringir el tráfico norte-sur, Sophos proporciona una capa adicional de protección para la infraestructura de la nube.</w:t>
      </w:r>
      <w:r w:rsidDel="00000000" w:rsidR="00000000" w:rsidRPr="00000000">
        <w:rPr>
          <w:rtl w:val="0"/>
        </w:rPr>
      </w:r>
    </w:p>
    <w:p w:rsidR="00000000" w:rsidDel="00000000" w:rsidP="00000000" w:rsidRDefault="00000000" w:rsidRPr="00000000" w14:paraId="00000015">
      <w:pPr>
        <w:spacing w:line="276" w:lineRule="auto"/>
        <w:jc w:val="center"/>
        <w:rPr>
          <w:rFonts w:ascii="Proxima Nova" w:cs="Proxima Nova" w:eastAsia="Proxima Nova" w:hAnsi="Proxima Nova"/>
          <w:i w:val="1"/>
          <w:sz w:val="18"/>
          <w:szCs w:val="18"/>
        </w:rPr>
      </w:pPr>
      <w:r w:rsidDel="00000000" w:rsidR="00000000" w:rsidRPr="00000000">
        <w:rPr>
          <w:rFonts w:ascii="Proxima Nova" w:cs="Proxima Nova" w:eastAsia="Proxima Nova" w:hAnsi="Proxima Nova"/>
          <w:sz w:val="22"/>
          <w:szCs w:val="22"/>
          <w:rtl w:val="0"/>
        </w:rPr>
        <w:t xml:space="preserve"># # #</w:t>
      </w:r>
      <w:r w:rsidDel="00000000" w:rsidR="00000000" w:rsidRPr="00000000">
        <w:rPr>
          <w:rtl w:val="0"/>
        </w:rPr>
      </w:r>
    </w:p>
    <w:p w:rsidR="00000000" w:rsidDel="00000000" w:rsidP="00000000" w:rsidRDefault="00000000" w:rsidRPr="00000000" w14:paraId="00000016">
      <w:pPr>
        <w:spacing w:line="276" w:lineRule="auto"/>
        <w:jc w:val="cente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Sobre Sophos</w:t>
      </w:r>
      <w:r w:rsidDel="00000000" w:rsidR="00000000" w:rsidRPr="00000000">
        <w:rPr>
          <w:rtl w:val="0"/>
        </w:rPr>
      </w:r>
    </w:p>
    <w:p w:rsidR="00000000" w:rsidDel="00000000" w:rsidP="00000000" w:rsidRDefault="00000000" w:rsidRPr="00000000" w14:paraId="00000018">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Como líder mundial en seguridad cibernética de última generación,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protege a casi 400 mil organizaciones de todos los tamaños en más de 150 países de las amenazas cibernéticas más avanzadas de la actualidad. Desarrollado por SophosLabs -un equipo global de </w:t>
      </w:r>
      <w:r w:rsidDel="00000000" w:rsidR="00000000" w:rsidRPr="00000000">
        <w:rPr>
          <w:rFonts w:ascii="Proxima Nova" w:cs="Proxima Nova" w:eastAsia="Proxima Nova" w:hAnsi="Proxima Nova"/>
          <w:i w:val="1"/>
          <w:sz w:val="18"/>
          <w:szCs w:val="18"/>
          <w:rtl w:val="0"/>
        </w:rPr>
        <w:t xml:space="preserve">Threat Intelligence</w:t>
      </w:r>
      <w:r w:rsidDel="00000000" w:rsidR="00000000" w:rsidRPr="00000000">
        <w:rPr>
          <w:rFonts w:ascii="Proxima Nova" w:cs="Proxima Nova" w:eastAsia="Proxima Nova" w:hAnsi="Proxima Nova"/>
          <w:sz w:val="18"/>
          <w:szCs w:val="18"/>
          <w:rtl w:val="0"/>
        </w:rPr>
        <w:t xml:space="preserve"> y </w:t>
      </w:r>
      <w:r w:rsidDel="00000000" w:rsidR="00000000" w:rsidRPr="00000000">
        <w:rPr>
          <w:rFonts w:ascii="Proxima Nova" w:cs="Proxima Nova" w:eastAsia="Proxima Nova" w:hAnsi="Proxima Nova"/>
          <w:i w:val="1"/>
          <w:sz w:val="18"/>
          <w:szCs w:val="18"/>
          <w:rtl w:val="0"/>
        </w:rPr>
        <w:t xml:space="preserve">Data Science-</w:t>
      </w:r>
      <w:r w:rsidDel="00000000" w:rsidR="00000000" w:rsidRPr="00000000">
        <w:rPr>
          <w:rFonts w:ascii="Proxima Nova" w:cs="Proxima Nova" w:eastAsia="Proxima Nova" w:hAnsi="Proxima Nova"/>
          <w:sz w:val="18"/>
          <w:szCs w:val="18"/>
          <w:rtl w:val="0"/>
        </w:rPr>
        <w:t xml:space="preserve"> las soluciones nativas de la nube y mejoradas por IA de Sophos, aseguran protección en puntos finales (computadoras portátiles, servidores y dispositivos móviles) y redes contra tácticas y técnicas cibercriminales en evolución, incluidas las filtraciones de adversarios activos y automáticos, ransomware, malware, exploits, exfiltración de datos, phishing y más. La galardonada plataforma basada en la nube de Sophos Central integra toda la cartera de productos de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desde la solución de punto final, Intercept X, hasta el Firewall XG, en un único sistema llamado Seguridad Sincronizada. Los productos de </w:t>
      </w:r>
      <w:r w:rsidDel="00000000" w:rsidR="00000000" w:rsidRPr="00000000">
        <w:rPr>
          <w:rFonts w:ascii="Proxima Nova" w:cs="Proxima Nova" w:eastAsia="Proxima Nova" w:hAnsi="Proxima Nova"/>
          <w:b w:val="1"/>
          <w:sz w:val="18"/>
          <w:szCs w:val="18"/>
          <w:rtl w:val="0"/>
        </w:rPr>
        <w:t xml:space="preserve">Sophos</w:t>
      </w:r>
      <w:r w:rsidDel="00000000" w:rsidR="00000000" w:rsidRPr="00000000">
        <w:rPr>
          <w:rFonts w:ascii="Proxima Nova" w:cs="Proxima Nova" w:eastAsia="Proxima Nova" w:hAnsi="Proxima Nova"/>
          <w:sz w:val="18"/>
          <w:szCs w:val="18"/>
          <w:rtl w:val="0"/>
        </w:rPr>
        <w:t xml:space="preserve"> están disponibles exclusivamente a través de un canal global de más de 47 mil socios y proveedores de servicios gestionados (MSP).</w:t>
      </w:r>
    </w:p>
    <w:p w:rsidR="00000000" w:rsidDel="00000000" w:rsidP="00000000" w:rsidRDefault="00000000" w:rsidRPr="00000000" w14:paraId="00000019">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Sophos también pone a disposición de los consumidores sus innovadoras tecnologías comerciales a través de </w:t>
      </w:r>
      <w:hyperlink r:id="rId14">
        <w:r w:rsidDel="00000000" w:rsidR="00000000" w:rsidRPr="00000000">
          <w:rPr>
            <w:rFonts w:ascii="Proxima Nova" w:cs="Proxima Nova" w:eastAsia="Proxima Nova" w:hAnsi="Proxima Nova"/>
            <w:color w:val="1155cc"/>
            <w:sz w:val="18"/>
            <w:szCs w:val="18"/>
            <w:u w:val="single"/>
            <w:rtl w:val="0"/>
          </w:rPr>
          <w:t xml:space="preserve">Sophos Home</w:t>
        </w:r>
      </w:hyperlink>
      <w:r w:rsidDel="00000000" w:rsidR="00000000" w:rsidRPr="00000000">
        <w:rPr>
          <w:rFonts w:ascii="Proxima Nova" w:cs="Proxima Nova" w:eastAsia="Proxima Nova" w:hAnsi="Proxima Nova"/>
          <w:sz w:val="18"/>
          <w:szCs w:val="18"/>
          <w:rtl w:val="0"/>
        </w:rPr>
        <w:t xml:space="preserve">. La compañía tiene su sede en Oxford, Reino Unido, y cotiza en la Bolsa de Londres bajo el símbolo "SOPH". Más información está disponible en </w:t>
      </w:r>
      <w:hyperlink r:id="rId15">
        <w:r w:rsidDel="00000000" w:rsidR="00000000" w:rsidRPr="00000000">
          <w:rPr>
            <w:rFonts w:ascii="Proxima Nova" w:cs="Proxima Nova" w:eastAsia="Proxima Nova" w:hAnsi="Proxima Nova"/>
            <w:color w:val="1155cc"/>
            <w:sz w:val="18"/>
            <w:szCs w:val="18"/>
            <w:u w:val="single"/>
            <w:rtl w:val="0"/>
          </w:rPr>
          <w:t xml:space="preserve">www.sophos.com</w:t>
        </w:r>
      </w:hyperlink>
      <w:r w:rsidDel="00000000" w:rsidR="00000000" w:rsidRPr="00000000">
        <w:rPr>
          <w:rtl w:val="0"/>
        </w:rPr>
      </w:r>
    </w:p>
    <w:p w:rsidR="00000000" w:rsidDel="00000000" w:rsidP="00000000" w:rsidRDefault="00000000" w:rsidRPr="00000000" w14:paraId="0000001A">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color w:val="ef4135"/>
          <w:sz w:val="18"/>
          <w:szCs w:val="18"/>
        </w:rPr>
      </w:pPr>
      <w:r w:rsidDel="00000000" w:rsidR="00000000" w:rsidRPr="00000000">
        <w:rPr>
          <w:rtl w:val="0"/>
        </w:rPr>
      </w:r>
    </w:p>
    <w:p w:rsidR="00000000" w:rsidDel="00000000" w:rsidP="00000000" w:rsidRDefault="00000000" w:rsidRPr="00000000" w14:paraId="0000001C">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Síguenos en:</w:t>
      </w:r>
      <w:r w:rsidDel="00000000" w:rsidR="00000000" w:rsidRPr="00000000">
        <w:rPr>
          <w:rtl w:val="0"/>
        </w:rPr>
      </w:r>
    </w:p>
    <w:p w:rsidR="00000000" w:rsidDel="00000000" w:rsidP="00000000" w:rsidRDefault="00000000" w:rsidRPr="00000000" w14:paraId="0000001D">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Facebook: </w:t>
      </w:r>
      <w:hyperlink r:id="rId16">
        <w:r w:rsidDel="00000000" w:rsidR="00000000" w:rsidRPr="00000000">
          <w:rPr>
            <w:rFonts w:ascii="Proxima Nova" w:cs="Proxima Nova" w:eastAsia="Proxima Nova" w:hAnsi="Proxima Nova"/>
            <w:color w:val="1155cc"/>
            <w:sz w:val="18"/>
            <w:szCs w:val="18"/>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1E">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Twitter: </w:t>
      </w:r>
      <w:hyperlink r:id="rId17">
        <w:r w:rsidDel="00000000" w:rsidR="00000000" w:rsidRPr="00000000">
          <w:rPr>
            <w:rFonts w:ascii="Proxima Nova" w:cs="Proxima Nova" w:eastAsia="Proxima Nova" w:hAnsi="Proxima Nova"/>
            <w:color w:val="1155cc"/>
            <w:sz w:val="18"/>
            <w:szCs w:val="18"/>
            <w:u w:val="single"/>
            <w:rtl w:val="0"/>
          </w:rPr>
          <w:t xml:space="preserve">https://twitter.com/Sophos</w:t>
        </w:r>
      </w:hyperlink>
      <w:r w:rsidDel="00000000" w:rsidR="00000000" w:rsidRPr="00000000">
        <w:rPr>
          <w:rtl w:val="0"/>
        </w:rPr>
      </w:r>
    </w:p>
    <w:p w:rsidR="00000000" w:rsidDel="00000000" w:rsidP="00000000" w:rsidRDefault="00000000" w:rsidRPr="00000000" w14:paraId="0000001F">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LinkedIn: </w:t>
      </w:r>
      <w:hyperlink r:id="rId18">
        <w:r w:rsidDel="00000000" w:rsidR="00000000" w:rsidRPr="00000000">
          <w:rPr>
            <w:rFonts w:ascii="Proxima Nova" w:cs="Proxima Nova" w:eastAsia="Proxima Nova" w:hAnsi="Proxima Nova"/>
            <w:color w:val="1155cc"/>
            <w:sz w:val="18"/>
            <w:szCs w:val="18"/>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0">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Instagram: </w:t>
      </w:r>
      <w:hyperlink r:id="rId19">
        <w:r w:rsidDel="00000000" w:rsidR="00000000" w:rsidRPr="00000000">
          <w:rPr>
            <w:rFonts w:ascii="Proxima Nova" w:cs="Proxima Nova" w:eastAsia="Proxima Nova" w:hAnsi="Proxima Nova"/>
            <w:color w:val="1155cc"/>
            <w:sz w:val="18"/>
            <w:szCs w:val="18"/>
            <w:u w:val="single"/>
            <w:rtl w:val="0"/>
          </w:rPr>
          <w:t xml:space="preserve">https://www.instagram.com/sophossecurity/?hl=es-la</w:t>
        </w:r>
      </w:hyperlink>
      <w:r w:rsidDel="00000000" w:rsidR="00000000" w:rsidRPr="00000000">
        <w:rPr>
          <w:rtl w:val="0"/>
        </w:rPr>
      </w:r>
    </w:p>
    <w:p w:rsidR="00000000" w:rsidDel="00000000" w:rsidP="00000000" w:rsidRDefault="00000000" w:rsidRPr="00000000" w14:paraId="00000021">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Youtube: </w:t>
      </w:r>
      <w:hyperlink r:id="rId20">
        <w:r w:rsidDel="00000000" w:rsidR="00000000" w:rsidRPr="00000000">
          <w:rPr>
            <w:rFonts w:ascii="Proxima Nova" w:cs="Proxima Nova" w:eastAsia="Proxima Nova" w:hAnsi="Proxima Nova"/>
            <w:color w:val="1155cc"/>
            <w:sz w:val="18"/>
            <w:szCs w:val="18"/>
            <w:u w:val="single"/>
            <w:rtl w:val="0"/>
          </w:rPr>
          <w:t xml:space="preserve">https://www.youtube.com/user/SophosProducts</w:t>
        </w:r>
      </w:hyperlink>
      <w:r w:rsidDel="00000000" w:rsidR="00000000" w:rsidRPr="00000000">
        <w:rPr>
          <w:rtl w:val="0"/>
        </w:rPr>
      </w:r>
    </w:p>
    <w:p w:rsidR="00000000" w:rsidDel="00000000" w:rsidP="00000000" w:rsidRDefault="00000000" w:rsidRPr="00000000" w14:paraId="00000022">
      <w:pPr>
        <w:spacing w:line="276" w:lineRule="auto"/>
        <w:rPr>
          <w:rFonts w:ascii="Proxima Nova" w:cs="Proxima Nova" w:eastAsia="Proxima Nova" w:hAnsi="Proxima Nova"/>
          <w:color w:val="ef4135"/>
          <w:sz w:val="18"/>
          <w:szCs w:val="18"/>
        </w:rPr>
      </w:pPr>
      <w:r w:rsidDel="00000000" w:rsidR="00000000" w:rsidRPr="00000000">
        <w:rPr>
          <w:rtl w:val="0"/>
        </w:rPr>
      </w:r>
    </w:p>
    <w:p w:rsidR="00000000" w:rsidDel="00000000" w:rsidP="00000000" w:rsidRDefault="00000000" w:rsidRPr="00000000" w14:paraId="00000023">
      <w:pPr>
        <w:spacing w:line="276"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Contacto</w:t>
      </w:r>
      <w:r w:rsidDel="00000000" w:rsidR="00000000" w:rsidRPr="00000000">
        <w:rPr>
          <w:rtl w:val="0"/>
        </w:rPr>
      </w:r>
    </w:p>
    <w:p w:rsidR="00000000" w:rsidDel="00000000" w:rsidP="00000000" w:rsidRDefault="00000000" w:rsidRPr="00000000" w14:paraId="00000024">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Fernanda Cornejo</w:t>
      </w:r>
    </w:p>
    <w:p w:rsidR="00000000" w:rsidDel="00000000" w:rsidP="00000000" w:rsidRDefault="00000000" w:rsidRPr="00000000" w14:paraId="00000025">
      <w:pPr>
        <w:widowControl w:val="0"/>
        <w:jc w:val="both"/>
        <w:rPr>
          <w:rFonts w:ascii="Proxima Nova" w:cs="Proxima Nova" w:eastAsia="Proxima Nova" w:hAnsi="Proxima Nova"/>
          <w:sz w:val="18"/>
          <w:szCs w:val="18"/>
        </w:rPr>
      </w:pPr>
      <w:hyperlink r:id="rId21">
        <w:r w:rsidDel="00000000" w:rsidR="00000000" w:rsidRPr="00000000">
          <w:rPr>
            <w:rFonts w:ascii="Proxima Nova" w:cs="Proxima Nova" w:eastAsia="Proxima Nova" w:hAnsi="Proxima Nova"/>
            <w:color w:val="1155cc"/>
            <w:sz w:val="18"/>
            <w:szCs w:val="18"/>
            <w:u w:val="single"/>
            <w:rtl w:val="0"/>
          </w:rPr>
          <w:t xml:space="preserve">fernando.cornejo@another.co</w:t>
        </w:r>
      </w:hyperlink>
      <w:r w:rsidDel="00000000" w:rsidR="00000000" w:rsidRPr="00000000">
        <w:rPr>
          <w:rtl w:val="0"/>
        </w:rPr>
      </w:r>
    </w:p>
    <w:p w:rsidR="00000000" w:rsidDel="00000000" w:rsidP="00000000" w:rsidRDefault="00000000" w:rsidRPr="00000000" w14:paraId="00000026">
      <w:pPr>
        <w:widowControl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7">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Mario García</w:t>
      </w:r>
    </w:p>
    <w:p w:rsidR="00000000" w:rsidDel="00000000" w:rsidP="00000000" w:rsidRDefault="00000000" w:rsidRPr="00000000" w14:paraId="00000028">
      <w:pPr>
        <w:widowControl w:val="0"/>
        <w:jc w:val="both"/>
        <w:rPr>
          <w:rFonts w:ascii="Proxima Nova" w:cs="Proxima Nova" w:eastAsia="Proxima Nova" w:hAnsi="Proxima Nova"/>
          <w:sz w:val="18"/>
          <w:szCs w:val="18"/>
        </w:rPr>
      </w:pPr>
      <w:hyperlink r:id="rId22">
        <w:r w:rsidDel="00000000" w:rsidR="00000000" w:rsidRPr="00000000">
          <w:rPr>
            <w:rFonts w:ascii="Proxima Nova" w:cs="Proxima Nova" w:eastAsia="Proxima Nova" w:hAnsi="Proxima Nova"/>
            <w:color w:val="1155cc"/>
            <w:sz w:val="18"/>
            <w:szCs w:val="18"/>
            <w:u w:val="single"/>
            <w:rtl w:val="0"/>
          </w:rPr>
          <w:t xml:space="preserve">mario@another.co</w:t>
        </w:r>
      </w:hyperlink>
      <w:r w:rsidDel="00000000" w:rsidR="00000000" w:rsidRPr="00000000">
        <w:rPr>
          <w:rtl w:val="0"/>
        </w:rPr>
      </w:r>
    </w:p>
    <w:p w:rsidR="00000000" w:rsidDel="00000000" w:rsidP="00000000" w:rsidRDefault="00000000" w:rsidRPr="00000000" w14:paraId="00000029">
      <w:pPr>
        <w:widowControl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 55 3930 2474</w:t>
      </w:r>
    </w:p>
    <w:p w:rsidR="00000000" w:rsidDel="00000000" w:rsidP="00000000" w:rsidRDefault="00000000" w:rsidRPr="00000000" w14:paraId="0000002A">
      <w:pPr>
        <w:widowControl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B">
      <w:pPr>
        <w:widowControl w:val="0"/>
        <w:jc w:val="both"/>
        <w:rPr>
          <w:rFonts w:ascii="Proxima Nova" w:cs="Proxima Nova" w:eastAsia="Proxima Nova" w:hAnsi="Proxima Nova"/>
          <w:sz w:val="18"/>
          <w:szCs w:val="18"/>
        </w:rPr>
      </w:pPr>
      <w:r w:rsidDel="00000000" w:rsidR="00000000" w:rsidRPr="00000000">
        <w:rPr>
          <w:rtl w:val="0"/>
        </w:rPr>
      </w:r>
    </w:p>
    <w:sectPr>
      <w:headerReference r:id="rId23" w:type="default"/>
      <w:headerReference r:id="rId24" w:type="first"/>
      <w:footerReference r:id="rId25"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19050</wp:posOffset>
          </wp:positionV>
          <wp:extent cx="607695" cy="36385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695" cy="3638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E">
    <w:pPr>
      <w:spacing w:line="276" w:lineRule="auto"/>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Pr>
      <w:drawing>
        <wp:inline distB="114300" distT="114300" distL="114300" distR="114300">
          <wp:extent cx="2409825" cy="408586"/>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line="276" w:lineRule="auto"/>
      <w:jc w:val="center"/>
      <w:rPr>
        <w:rFonts w:ascii="Open Sans" w:cs="Open Sans" w:eastAsia="Open Sans" w:hAnsi="Open Sans"/>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user/SophosProducts" TargetMode="External"/><Relationship Id="rId22" Type="http://schemas.openxmlformats.org/officeDocument/2006/relationships/hyperlink" Target="mailto:mario@another.co" TargetMode="External"/><Relationship Id="rId21" Type="http://schemas.openxmlformats.org/officeDocument/2006/relationships/hyperlink" Target="mailto:fernando.cornejo@another.co" TargetMode="External"/><Relationship Id="rId24" Type="http://schemas.openxmlformats.org/officeDocument/2006/relationships/header" Target="head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phos.com/en-us/products/sophos-central.aspx"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sophos.com/en-us.aspx" TargetMode="External"/><Relationship Id="rId7" Type="http://schemas.openxmlformats.org/officeDocument/2006/relationships/hyperlink" Target="https://www.sophos.com/en-us/products/cloud-optix.aspx" TargetMode="External"/><Relationship Id="rId8" Type="http://schemas.openxmlformats.org/officeDocument/2006/relationships/hyperlink" Target="https://www.sophos.com/en-us/products/sophos-central.aspx" TargetMode="External"/><Relationship Id="rId11" Type="http://schemas.openxmlformats.org/officeDocument/2006/relationships/hyperlink" Target="https://aws.amazon.com/eks/" TargetMode="External"/><Relationship Id="rId10" Type="http://schemas.openxmlformats.org/officeDocument/2006/relationships/hyperlink" Target="https://aws.amazon.com/detective/" TargetMode="External"/><Relationship Id="rId13" Type="http://schemas.openxmlformats.org/officeDocument/2006/relationships/hyperlink" Target="http://news.sophos.com/en-us/2019/11/25/know-where-your-%E2%80%A6traffic-is-going/%20%E2%80%8E" TargetMode="External"/><Relationship Id="rId12" Type="http://schemas.openxmlformats.org/officeDocument/2006/relationships/hyperlink" Target="https://www.sophos.com/en-us/products/choose-firewall.aspx" TargetMode="External"/><Relationship Id="rId15" Type="http://schemas.openxmlformats.org/officeDocument/2006/relationships/hyperlink" Target="http://www.sophos.com" TargetMode="External"/><Relationship Id="rId14" Type="http://schemas.openxmlformats.org/officeDocument/2006/relationships/hyperlink" Target="https://home.sophos.com/en-us.aspx" TargetMode="External"/><Relationship Id="rId17" Type="http://schemas.openxmlformats.org/officeDocument/2006/relationships/hyperlink" Target="https://twitter.com/Sophos" TargetMode="External"/><Relationship Id="rId16" Type="http://schemas.openxmlformats.org/officeDocument/2006/relationships/hyperlink" Target="https://www.facebook.com/SophosLatam/" TargetMode="External"/><Relationship Id="rId19" Type="http://schemas.openxmlformats.org/officeDocument/2006/relationships/hyperlink" Target="https://www.instagram.com/sophossecurity/?hl=es-la" TargetMode="External"/><Relationship Id="rId18" Type="http://schemas.openxmlformats.org/officeDocument/2006/relationships/hyperlink" Target="https://www.linkedin.com/company/soph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